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BF" w:rsidRPr="002650EB" w:rsidRDefault="004B48BF" w:rsidP="004B48BF">
      <w:pPr>
        <w:rPr>
          <w:rFonts w:asciiTheme="majorHAnsi" w:hAnsiTheme="majorHAnsi"/>
          <w:color w:val="FFFFFF" w:themeColor="background1"/>
          <w:sz w:val="52"/>
        </w:rPr>
      </w:pPr>
      <w:r w:rsidRPr="002650EB">
        <w:rPr>
          <w:rFonts w:asciiTheme="majorHAnsi" w:hAnsiTheme="majorHAnsi"/>
          <w:noProof/>
          <w:color w:val="AEAAAA" w:themeColor="background2" w:themeShade="BF"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ECD5B" wp14:editId="20B8E0FF">
                <wp:simplePos x="0" y="0"/>
                <wp:positionH relativeFrom="column">
                  <wp:posOffset>-947092</wp:posOffset>
                </wp:positionH>
                <wp:positionV relativeFrom="page">
                  <wp:posOffset>-141890</wp:posOffset>
                </wp:positionV>
                <wp:extent cx="8038800" cy="3153104"/>
                <wp:effectExtent l="0" t="0" r="635" b="952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8800" cy="3153104"/>
                        </a:xfrm>
                        <a:prstGeom prst="rect">
                          <a:avLst/>
                        </a:prstGeom>
                        <a:solidFill>
                          <a:srgbClr val="3174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6041" id="Rektangel 1" o:spid="_x0000_s1026" style="position:absolute;margin-left:-74.55pt;margin-top:-11.15pt;width:633pt;height:248.3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" fillcolor="#31747a" stroked="f" strokeweight="1pt">
                <w10:wrap anchory="page"/>
              </v:rect>
            </w:pict>
          </mc:Fallback>
        </mc:AlternateContent>
      </w:r>
      <w:r w:rsidRPr="002650EB">
        <w:rPr>
          <w:rFonts w:asciiTheme="majorHAnsi" w:hAnsiTheme="majorHAnsi"/>
          <w:color w:val="FFFFFF" w:themeColor="background1"/>
          <w:sz w:val="52"/>
        </w:rPr>
        <w:t>DAGORDNING</w:t>
      </w:r>
      <w:r w:rsidRPr="002650EB">
        <w:rPr>
          <w:rFonts w:asciiTheme="majorHAnsi" w:hAnsiTheme="majorHAnsi"/>
          <w:color w:val="FFFFFF" w:themeColor="background1"/>
          <w:sz w:val="52"/>
        </w:rPr>
        <w:br/>
        <w:t>FULLMÄKTIGE</w:t>
      </w:r>
      <w:r w:rsidRPr="002650EB">
        <w:rPr>
          <w:rFonts w:asciiTheme="majorHAnsi" w:hAnsiTheme="majorHAnsi"/>
          <w:color w:val="FFFFFF" w:themeColor="background1"/>
          <w:sz w:val="52"/>
        </w:rPr>
        <w:br/>
        <w:t>FÖRENINGEN NORDEN</w:t>
      </w:r>
      <w:r w:rsidRPr="002650EB">
        <w:rPr>
          <w:rFonts w:asciiTheme="majorHAnsi" w:hAnsiTheme="majorHAnsi"/>
          <w:color w:val="FFFFFF" w:themeColor="background1"/>
          <w:sz w:val="52"/>
        </w:rPr>
        <w:br/>
        <w:t xml:space="preserve">18-19 </w:t>
      </w:r>
      <w:proofErr w:type="gramStart"/>
      <w:r w:rsidRPr="002650EB">
        <w:rPr>
          <w:rFonts w:asciiTheme="majorHAnsi" w:hAnsiTheme="majorHAnsi"/>
          <w:color w:val="FFFFFF" w:themeColor="background1"/>
          <w:sz w:val="52"/>
        </w:rPr>
        <w:t>JUNI</w:t>
      </w:r>
      <w:proofErr w:type="gramEnd"/>
      <w:r w:rsidRPr="002650EB">
        <w:rPr>
          <w:rFonts w:asciiTheme="majorHAnsi" w:hAnsiTheme="majorHAnsi"/>
          <w:color w:val="FFFFFF" w:themeColor="background1"/>
          <w:sz w:val="52"/>
        </w:rPr>
        <w:t xml:space="preserve"> 2016</w:t>
      </w:r>
    </w:p>
    <w:p w:rsidR="004B48BF" w:rsidRPr="002650EB" w:rsidRDefault="004B48BF" w:rsidP="004B48BF">
      <w:pPr>
        <w:rPr>
          <w:rFonts w:asciiTheme="majorHAnsi" w:hAnsiTheme="majorHAnsi"/>
          <w:sz w:val="52"/>
        </w:rPr>
      </w:pPr>
    </w:p>
    <w:p w:rsidR="004B48BF" w:rsidRPr="002650EB" w:rsidRDefault="004B48BF" w:rsidP="004B48BF">
      <w:pPr>
        <w:jc w:val="both"/>
        <w:rPr>
          <w:rFonts w:asciiTheme="majorHAnsi" w:hAnsiTheme="majorHAnsi"/>
        </w:rPr>
      </w:pPr>
    </w:p>
    <w:p w:rsidR="004B48BF" w:rsidRPr="002650EB" w:rsidRDefault="004B48BF" w:rsidP="004B48BF">
      <w:pPr>
        <w:jc w:val="both"/>
        <w:rPr>
          <w:rFonts w:asciiTheme="majorHAnsi" w:hAnsiTheme="majorHAnsi"/>
        </w:rPr>
      </w:pPr>
    </w:p>
    <w:p w:rsidR="004B48BF" w:rsidRPr="002650EB" w:rsidRDefault="004B48BF" w:rsidP="004B48BF">
      <w:pPr>
        <w:rPr>
          <w:rFonts w:asciiTheme="majorHAnsi" w:hAnsiTheme="majorHAnsi"/>
          <w:b/>
          <w:sz w:val="36"/>
          <w:szCs w:val="36"/>
        </w:rPr>
      </w:pPr>
      <w:r w:rsidRPr="002650EB">
        <w:rPr>
          <w:rFonts w:asciiTheme="majorHAnsi" w:hAnsiTheme="majorHAnsi"/>
          <w:b/>
          <w:sz w:val="36"/>
          <w:szCs w:val="36"/>
        </w:rPr>
        <w:br w:type="page"/>
      </w:r>
    </w:p>
    <w:p w:rsidR="004B48BF" w:rsidRPr="002650EB" w:rsidRDefault="004B48BF" w:rsidP="004B48BF">
      <w:pPr>
        <w:rPr>
          <w:rFonts w:asciiTheme="majorHAnsi" w:hAnsiTheme="majorHAnsi"/>
          <w:b/>
          <w:sz w:val="36"/>
          <w:szCs w:val="36"/>
        </w:rPr>
      </w:pPr>
      <w:r w:rsidRPr="002650EB">
        <w:rPr>
          <w:rFonts w:asciiTheme="majorHAnsi" w:hAnsiTheme="majorHAnsi"/>
          <w:b/>
          <w:sz w:val="36"/>
          <w:szCs w:val="36"/>
        </w:rPr>
        <w:lastRenderedPageBreak/>
        <w:t>Fullmäktige 2016, Föreningen Norden</w:t>
      </w:r>
    </w:p>
    <w:p w:rsidR="004B48BF" w:rsidRPr="002650EB" w:rsidRDefault="004B48BF" w:rsidP="004B48BF">
      <w:pPr>
        <w:rPr>
          <w:rFonts w:asciiTheme="majorHAnsi" w:hAnsiTheme="majorHAnsi"/>
          <w:b/>
        </w:rPr>
      </w:pPr>
      <w:r w:rsidRPr="002650EB">
        <w:rPr>
          <w:rFonts w:asciiTheme="majorHAnsi" w:hAnsiTheme="majorHAnsi"/>
          <w:b/>
          <w:sz w:val="36"/>
          <w:szCs w:val="36"/>
        </w:rPr>
        <w:t>Bilagor</w:t>
      </w:r>
      <w:r w:rsidRPr="002650EB">
        <w:rPr>
          <w:rFonts w:asciiTheme="majorHAnsi" w:hAnsiTheme="majorHAnsi"/>
          <w:b/>
        </w:rPr>
        <w:t xml:space="preserve"> </w:t>
      </w:r>
    </w:p>
    <w:p w:rsidR="004B48BF" w:rsidRPr="005A4563" w:rsidRDefault="004B48BF" w:rsidP="004B48BF">
      <w:pPr>
        <w:pStyle w:val="Liststyck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5A4563">
        <w:rPr>
          <w:rFonts w:asciiTheme="majorHAnsi" w:hAnsiTheme="majorHAnsi"/>
          <w:b/>
        </w:rPr>
        <w:t>Fastställande av röstlängd</w:t>
      </w:r>
      <w:r w:rsidR="005A4563">
        <w:rPr>
          <w:rFonts w:asciiTheme="majorHAnsi" w:hAnsiTheme="majorHAnsi"/>
          <w:b/>
        </w:rPr>
        <w:t>, Antal ombud till fullmäktige.</w:t>
      </w:r>
    </w:p>
    <w:p w:rsidR="004B48BF" w:rsidRPr="00481FA6" w:rsidRDefault="00C8173A" w:rsidP="004B48BF">
      <w:pPr>
        <w:pStyle w:val="Liststyck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481FA6">
        <w:rPr>
          <w:rFonts w:asciiTheme="majorHAnsi" w:hAnsiTheme="majorHAnsi"/>
          <w:b/>
        </w:rPr>
        <w:t>Förslag till a</w:t>
      </w:r>
      <w:r w:rsidR="004B48BF" w:rsidRPr="00481FA6">
        <w:rPr>
          <w:rFonts w:asciiTheme="majorHAnsi" w:hAnsiTheme="majorHAnsi"/>
          <w:b/>
        </w:rPr>
        <w:t xml:space="preserve">rbetsordning </w:t>
      </w:r>
    </w:p>
    <w:p w:rsidR="004B48BF" w:rsidRPr="00481FA6" w:rsidRDefault="004B48BF" w:rsidP="004B48BF">
      <w:pPr>
        <w:pStyle w:val="Liststyck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481FA6">
        <w:rPr>
          <w:rFonts w:asciiTheme="majorHAnsi" w:hAnsiTheme="majorHAnsi"/>
          <w:b/>
        </w:rPr>
        <w:t>Årsredovisning</w:t>
      </w:r>
      <w:r w:rsidR="00DC65C2" w:rsidRPr="00481FA6">
        <w:rPr>
          <w:rFonts w:asciiTheme="majorHAnsi" w:hAnsiTheme="majorHAnsi"/>
          <w:b/>
        </w:rPr>
        <w:t xml:space="preserve"> och r</w:t>
      </w:r>
      <w:r w:rsidRPr="00481FA6">
        <w:rPr>
          <w:rFonts w:asciiTheme="majorHAnsi" w:hAnsiTheme="majorHAnsi"/>
          <w:b/>
        </w:rPr>
        <w:t xml:space="preserve">evisorsberättelse, Verksamhetsberättelse, Redovisning av tidigare beslut. </w:t>
      </w:r>
    </w:p>
    <w:p w:rsidR="004B48BF" w:rsidRPr="00481FA6" w:rsidRDefault="004B48BF" w:rsidP="004B48BF">
      <w:pPr>
        <w:pStyle w:val="Liststyck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481FA6">
        <w:rPr>
          <w:rFonts w:asciiTheme="majorHAnsi" w:hAnsiTheme="majorHAnsi"/>
          <w:b/>
        </w:rPr>
        <w:t xml:space="preserve">Preliminär budget, verksamhetsriktlinjer </w:t>
      </w:r>
    </w:p>
    <w:p w:rsidR="004B48BF" w:rsidRPr="002650EB" w:rsidRDefault="004B48BF" w:rsidP="004B48BF">
      <w:pPr>
        <w:pStyle w:val="Liststyck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2650EB">
        <w:rPr>
          <w:rFonts w:asciiTheme="majorHAnsi" w:hAnsiTheme="majorHAnsi"/>
          <w:b/>
        </w:rPr>
        <w:t>Motioner</w:t>
      </w:r>
    </w:p>
    <w:p w:rsidR="004B48BF" w:rsidRPr="002650EB" w:rsidRDefault="004B48BF" w:rsidP="004B48BF">
      <w:pPr>
        <w:pStyle w:val="Liststycke"/>
        <w:spacing w:after="0" w:line="240" w:lineRule="auto"/>
        <w:rPr>
          <w:rFonts w:asciiTheme="majorHAnsi" w:hAnsiTheme="majorHAnsi"/>
        </w:rPr>
      </w:pPr>
      <w:proofErr w:type="gramStart"/>
      <w:r w:rsidRPr="002650EB">
        <w:rPr>
          <w:rFonts w:asciiTheme="majorHAnsi" w:hAnsiTheme="majorHAnsi"/>
        </w:rPr>
        <w:t>-</w:t>
      </w:r>
      <w:proofErr w:type="gramEnd"/>
      <w:r w:rsidRPr="002650EB">
        <w:rPr>
          <w:rFonts w:asciiTheme="majorHAnsi" w:hAnsiTheme="majorHAnsi"/>
        </w:rPr>
        <w:t>Motion från</w:t>
      </w:r>
      <w:r w:rsidRPr="002650EB">
        <w:rPr>
          <w:rFonts w:asciiTheme="majorHAnsi" w:hAnsiTheme="majorHAnsi"/>
          <w:b/>
        </w:rPr>
        <w:t xml:space="preserve"> </w:t>
      </w:r>
      <w:r w:rsidRPr="002650EB">
        <w:rPr>
          <w:rFonts w:asciiTheme="majorHAnsi" w:hAnsiTheme="majorHAnsi"/>
        </w:rPr>
        <w:t>Uppsala lokalavdelning</w:t>
      </w:r>
    </w:p>
    <w:p w:rsidR="004B48BF" w:rsidRPr="002650EB" w:rsidRDefault="004B48BF" w:rsidP="004B48BF">
      <w:pPr>
        <w:pStyle w:val="Liststycke"/>
        <w:spacing w:after="0" w:line="240" w:lineRule="auto"/>
        <w:rPr>
          <w:rFonts w:asciiTheme="majorHAnsi" w:hAnsiTheme="majorHAnsi"/>
        </w:rPr>
      </w:pPr>
      <w:proofErr w:type="gramStart"/>
      <w:r w:rsidRPr="002650EB">
        <w:rPr>
          <w:rFonts w:asciiTheme="majorHAnsi" w:hAnsiTheme="majorHAnsi"/>
        </w:rPr>
        <w:t>-</w:t>
      </w:r>
      <w:proofErr w:type="gramEnd"/>
      <w:r w:rsidRPr="002650EB">
        <w:rPr>
          <w:rFonts w:asciiTheme="majorHAnsi" w:hAnsiTheme="majorHAnsi"/>
        </w:rPr>
        <w:t>Motion från</w:t>
      </w:r>
      <w:r w:rsidRPr="002650EB">
        <w:rPr>
          <w:rFonts w:asciiTheme="majorHAnsi" w:hAnsiTheme="majorHAnsi"/>
          <w:b/>
        </w:rPr>
        <w:t xml:space="preserve"> </w:t>
      </w:r>
      <w:r w:rsidRPr="002650EB">
        <w:rPr>
          <w:rFonts w:asciiTheme="majorHAnsi" w:hAnsiTheme="majorHAnsi"/>
        </w:rPr>
        <w:t>Lerum lokalavdelning</w:t>
      </w:r>
    </w:p>
    <w:p w:rsidR="004B48BF" w:rsidRPr="002650EB" w:rsidRDefault="004B48BF" w:rsidP="004B48BF">
      <w:pPr>
        <w:pStyle w:val="Liststycke"/>
        <w:spacing w:after="0" w:line="240" w:lineRule="auto"/>
        <w:rPr>
          <w:rFonts w:asciiTheme="majorHAnsi" w:hAnsiTheme="majorHAnsi"/>
        </w:rPr>
      </w:pPr>
      <w:proofErr w:type="gramStart"/>
      <w:r w:rsidRPr="002650EB">
        <w:rPr>
          <w:rFonts w:asciiTheme="majorHAnsi" w:hAnsiTheme="majorHAnsi"/>
        </w:rPr>
        <w:t>-</w:t>
      </w:r>
      <w:proofErr w:type="gramEnd"/>
      <w:r w:rsidRPr="002650EB">
        <w:rPr>
          <w:rFonts w:asciiTheme="majorHAnsi" w:hAnsiTheme="majorHAnsi"/>
        </w:rPr>
        <w:t>Motion från</w:t>
      </w:r>
      <w:r w:rsidRPr="002650EB">
        <w:rPr>
          <w:rFonts w:asciiTheme="majorHAnsi" w:hAnsiTheme="majorHAnsi"/>
          <w:b/>
        </w:rPr>
        <w:t xml:space="preserve"> </w:t>
      </w:r>
      <w:r w:rsidRPr="002650EB">
        <w:rPr>
          <w:rFonts w:asciiTheme="majorHAnsi" w:hAnsiTheme="majorHAnsi"/>
        </w:rPr>
        <w:t>Hallands distrikt</w:t>
      </w:r>
    </w:p>
    <w:p w:rsidR="004B48BF" w:rsidRPr="002650EB" w:rsidRDefault="004B48BF" w:rsidP="004B48BF">
      <w:pPr>
        <w:pStyle w:val="Liststycke"/>
        <w:spacing w:after="0" w:line="240" w:lineRule="auto"/>
        <w:rPr>
          <w:rFonts w:asciiTheme="majorHAnsi" w:hAnsiTheme="majorHAnsi"/>
        </w:rPr>
      </w:pPr>
      <w:proofErr w:type="gramStart"/>
      <w:r w:rsidRPr="002650EB">
        <w:rPr>
          <w:rFonts w:asciiTheme="majorHAnsi" w:hAnsiTheme="majorHAnsi"/>
        </w:rPr>
        <w:t>-</w:t>
      </w:r>
      <w:proofErr w:type="gramEnd"/>
      <w:r w:rsidRPr="002650EB">
        <w:rPr>
          <w:rFonts w:asciiTheme="majorHAnsi" w:hAnsiTheme="majorHAnsi"/>
        </w:rPr>
        <w:t>Motion från</w:t>
      </w:r>
      <w:r w:rsidRPr="002650EB">
        <w:rPr>
          <w:rFonts w:asciiTheme="majorHAnsi" w:hAnsiTheme="majorHAnsi"/>
          <w:b/>
        </w:rPr>
        <w:t xml:space="preserve"> </w:t>
      </w:r>
      <w:r w:rsidRPr="002650EB">
        <w:rPr>
          <w:rFonts w:asciiTheme="majorHAnsi" w:hAnsiTheme="majorHAnsi"/>
        </w:rPr>
        <w:t>Hallands distrikt</w:t>
      </w:r>
    </w:p>
    <w:p w:rsidR="004B48BF" w:rsidRPr="002650EB" w:rsidRDefault="004B48BF" w:rsidP="004B48BF">
      <w:pPr>
        <w:pStyle w:val="Liststycke"/>
        <w:spacing w:after="0" w:line="240" w:lineRule="auto"/>
        <w:rPr>
          <w:rFonts w:asciiTheme="majorHAnsi" w:hAnsiTheme="majorHAnsi"/>
        </w:rPr>
      </w:pPr>
      <w:proofErr w:type="gramStart"/>
      <w:r w:rsidRPr="002650EB">
        <w:rPr>
          <w:rFonts w:asciiTheme="majorHAnsi" w:hAnsiTheme="majorHAnsi"/>
        </w:rPr>
        <w:t>-</w:t>
      </w:r>
      <w:proofErr w:type="gramEnd"/>
      <w:r w:rsidRPr="002650EB">
        <w:rPr>
          <w:rFonts w:asciiTheme="majorHAnsi" w:hAnsiTheme="majorHAnsi"/>
        </w:rPr>
        <w:t>Motion från</w:t>
      </w:r>
      <w:r w:rsidRPr="002650EB">
        <w:rPr>
          <w:rFonts w:asciiTheme="majorHAnsi" w:hAnsiTheme="majorHAnsi"/>
          <w:b/>
        </w:rPr>
        <w:t xml:space="preserve"> </w:t>
      </w:r>
      <w:r w:rsidRPr="002650EB">
        <w:rPr>
          <w:rFonts w:asciiTheme="majorHAnsi" w:hAnsiTheme="majorHAnsi"/>
        </w:rPr>
        <w:t>Skåne distrikt</w:t>
      </w:r>
    </w:p>
    <w:p w:rsidR="004B48BF" w:rsidRPr="002650EB" w:rsidRDefault="004B48BF" w:rsidP="004B48BF">
      <w:pPr>
        <w:pStyle w:val="Liststycke"/>
        <w:spacing w:after="0" w:line="240" w:lineRule="auto"/>
        <w:rPr>
          <w:rFonts w:asciiTheme="majorHAnsi" w:hAnsiTheme="majorHAnsi"/>
        </w:rPr>
      </w:pPr>
      <w:proofErr w:type="gramStart"/>
      <w:r w:rsidRPr="002650EB">
        <w:rPr>
          <w:rFonts w:asciiTheme="majorHAnsi" w:hAnsiTheme="majorHAnsi"/>
        </w:rPr>
        <w:t>-</w:t>
      </w:r>
      <w:proofErr w:type="gramEnd"/>
      <w:r w:rsidRPr="002650EB">
        <w:rPr>
          <w:rFonts w:asciiTheme="majorHAnsi" w:hAnsiTheme="majorHAnsi"/>
        </w:rPr>
        <w:t>Motion från</w:t>
      </w:r>
      <w:r w:rsidRPr="002650EB">
        <w:rPr>
          <w:rFonts w:asciiTheme="majorHAnsi" w:hAnsiTheme="majorHAnsi"/>
          <w:b/>
        </w:rPr>
        <w:t xml:space="preserve"> </w:t>
      </w:r>
      <w:r w:rsidRPr="002650EB">
        <w:rPr>
          <w:rFonts w:asciiTheme="majorHAnsi" w:hAnsiTheme="majorHAnsi"/>
        </w:rPr>
        <w:t>Skåne distrikt</w:t>
      </w:r>
    </w:p>
    <w:p w:rsidR="004B48BF" w:rsidRPr="002650EB" w:rsidRDefault="004B48BF" w:rsidP="004B48BF">
      <w:pPr>
        <w:pStyle w:val="Liststyck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proofErr w:type="spellStart"/>
      <w:r w:rsidRPr="002650EB">
        <w:rPr>
          <w:rFonts w:asciiTheme="majorHAnsi" w:hAnsiTheme="majorHAnsi"/>
          <w:b/>
        </w:rPr>
        <w:t>Inriktningsdokumentet</w:t>
      </w:r>
      <w:proofErr w:type="spellEnd"/>
    </w:p>
    <w:p w:rsidR="004B48BF" w:rsidRPr="002650EB" w:rsidRDefault="004B48BF" w:rsidP="004B48BF">
      <w:pPr>
        <w:pStyle w:val="Liststyck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2650EB">
        <w:rPr>
          <w:rFonts w:asciiTheme="majorHAnsi" w:hAnsiTheme="majorHAnsi"/>
          <w:b/>
        </w:rPr>
        <w:t>Stadgeändringar</w:t>
      </w:r>
    </w:p>
    <w:p w:rsidR="004B48BF" w:rsidRPr="002650EB" w:rsidRDefault="004B48BF" w:rsidP="004B48BF">
      <w:pPr>
        <w:pStyle w:val="Liststyck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2650EB">
        <w:rPr>
          <w:rFonts w:asciiTheme="majorHAnsi" w:hAnsiTheme="majorHAnsi"/>
          <w:b/>
        </w:rPr>
        <w:t xml:space="preserve">Valberedningens förslag </w:t>
      </w:r>
    </w:p>
    <w:p w:rsidR="00154773" w:rsidRDefault="00154773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br w:type="page"/>
      </w:r>
    </w:p>
    <w:p w:rsidR="004B48BF" w:rsidRPr="002650EB" w:rsidRDefault="004B48BF" w:rsidP="004B48BF">
      <w:pPr>
        <w:pStyle w:val="Rubrik1"/>
      </w:pPr>
      <w:r w:rsidRPr="002650EB">
        <w:lastRenderedPageBreak/>
        <w:t>Dagordning</w:t>
      </w:r>
    </w:p>
    <w:p w:rsidR="004B48BF" w:rsidRPr="002650EB" w:rsidRDefault="004B48BF" w:rsidP="004B48BF">
      <w:pPr>
        <w:tabs>
          <w:tab w:val="left" w:pos="851"/>
          <w:tab w:val="left" w:pos="5387"/>
        </w:tabs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§           </w:t>
      </w:r>
      <w:r w:rsidRPr="002650EB">
        <w:rPr>
          <w:rFonts w:asciiTheme="majorHAnsi" w:hAnsiTheme="majorHAnsi"/>
          <w:b/>
        </w:rPr>
        <w:t>Ärende</w:t>
      </w:r>
      <w:proofErr w:type="gramEnd"/>
      <w:r w:rsidRPr="002650EB">
        <w:rPr>
          <w:rFonts w:asciiTheme="majorHAnsi" w:hAnsiTheme="majorHAnsi"/>
          <w:b/>
        </w:rPr>
        <w:t>/Notering</w:t>
      </w:r>
      <w:r w:rsidRPr="002650EB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</w:t>
      </w:r>
      <w:r w:rsidRPr="002650EB">
        <w:rPr>
          <w:rFonts w:asciiTheme="majorHAnsi" w:hAnsiTheme="majorHAnsi"/>
          <w:b/>
        </w:rPr>
        <w:t>Förslag till beslut</w:t>
      </w:r>
    </w:p>
    <w:p w:rsidR="004B48BF" w:rsidRPr="002650EB" w:rsidRDefault="004B48BF" w:rsidP="004B48BF">
      <w:pPr>
        <w:pBdr>
          <w:top w:val="single" w:sz="4" w:space="1" w:color="auto"/>
        </w:pBdr>
        <w:rPr>
          <w:rFonts w:asciiTheme="majorHAnsi" w:hAnsiTheme="majorHAnsi"/>
        </w:rPr>
      </w:pPr>
    </w:p>
    <w:tbl>
      <w:tblPr>
        <w:tblStyle w:val="Tabellrutnt1"/>
        <w:tblW w:w="9351" w:type="dxa"/>
        <w:tblLook w:val="01E0" w:firstRow="1" w:lastRow="1" w:firstColumn="1" w:lastColumn="1" w:noHBand="0" w:noVBand="0"/>
      </w:tblPr>
      <w:tblGrid>
        <w:gridCol w:w="644"/>
        <w:gridCol w:w="4076"/>
        <w:gridCol w:w="790"/>
        <w:gridCol w:w="3841"/>
      </w:tblGrid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Formalia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Bilaga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Fullmäktiges öppnande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Fråga om mötets behöriga utlysande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Enligt stadgan (§ 5:2) skall kallelse utsändas en månad före mötet.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Formell kallelse sändes ut den 29/4. Datumet har tidigare informerats om i nyhetsbrev och på hemsidan.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mötet är </w:t>
            </w: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behörigen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utlyst.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Fastställande av röstlängd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Enligt stadgarna (§5:1) utser distrikt och FNUF en fullmäktigeledamot jämte ersättare för varje påbörjat antal av 600 medlemmar ink. Skol- och biblioteksmedlemmar. Distriktens representanter för mandatperioden 2016-2018 och utsågs vid distriktens stämmor 2016.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Fördelningen av distriktsombud och ombud från FNUF framgår av bilaga 1.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Resurslistans åtta ledamöter har enligt stadgarna utsetts av valberedningen för gällande mandatperiod.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Namn på alla fullmäktigeledamöter framgår av bilagan.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fastställa röstlängden enligt den lista över ombud som har registrerat sig i samband med fullmäktigemötets öppnande 18/6.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röstlängden uppdateras löpande allt eftersom deltagare registrerar sig under mötet.</w:t>
            </w: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5F5C1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frånvaro från fullmäktige anmäls till presidiet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 av två fullmäktigeledamöter att jämte ordförande justera protokollet, samt val av två rösträknare.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Vid mötet föreslå valberedningen namn på protokolljusterare och rösträknare.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i enlighet med valberedningens förslag utse protokolljusterare och rösträknare.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242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 av ordförande och vice ordförande för fullmäktigemötet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Valberedningen föreslår mötesordförande och vice ordförande.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i enlighet med valberedningens förslag utse ordförande och vice ordförande för fullmäktigemötet.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Fastställande av dagordning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841" w:type="dxa"/>
          </w:tcPr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Dagordningen är upprättad utifrån de ärenden som enligt stadgan (§5:4) skall förekomma vid ordinarie fullmäktigemöte.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fastställa dagordningen.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Antagande av arbetsordningen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Enligt praxis brukar fullmäktige anta en arbetsordning för mötet. Förslagen ordning är den som gällt under de senaste fullmäktigemötena</w:t>
            </w:r>
            <w:r>
              <w:rPr>
                <w:rFonts w:asciiTheme="majorHAnsi" w:hAnsiTheme="majorHAnsi"/>
                <w:sz w:val="24"/>
                <w:szCs w:val="24"/>
              </w:rPr>
              <w:t>, Behandlad genom arbetsgrupper, ombudsförslag och diskussioner behandlade i plenum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fastställa arbetsordningen för fullmäktige enligt bilaga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60F5" w:rsidRDefault="001160F5">
      <w:r>
        <w:br w:type="page"/>
      </w:r>
    </w:p>
    <w:tbl>
      <w:tblPr>
        <w:tblStyle w:val="Tabellrutnt1"/>
        <w:tblW w:w="9351" w:type="dxa"/>
        <w:tblLook w:val="01E0" w:firstRow="1" w:lastRow="1" w:firstColumn="1" w:lastColumn="1" w:noHBand="0" w:noVBand="0"/>
      </w:tblPr>
      <w:tblGrid>
        <w:gridCol w:w="644"/>
        <w:gridCol w:w="4076"/>
        <w:gridCol w:w="790"/>
        <w:gridCol w:w="3841"/>
      </w:tblGrid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Behandling av centralstyrelse- och revisionsberättelse för 2014 och 2015 och beslut om ansvarsfrihet för styrelsen och generalsekreteraren.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C61815">
              <w:rPr>
                <w:rFonts w:asciiTheme="majorHAnsi" w:hAnsiTheme="majorHAnsi"/>
                <w:sz w:val="24"/>
                <w:szCs w:val="24"/>
              </w:rPr>
              <w:t>Årsredovisning</w:t>
            </w:r>
            <w:r>
              <w:rPr>
                <w:rFonts w:asciiTheme="majorHAnsi" w:hAnsiTheme="majorHAnsi"/>
                <w:sz w:val="24"/>
                <w:szCs w:val="24"/>
              </w:rPr>
              <w:t>, r</w:t>
            </w:r>
            <w:r w:rsidRPr="00C61815">
              <w:rPr>
                <w:rFonts w:asciiTheme="majorHAnsi" w:hAnsiTheme="majorHAnsi"/>
                <w:sz w:val="24"/>
                <w:szCs w:val="24"/>
              </w:rPr>
              <w:t>evisorsberättelse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och</w:t>
            </w:r>
            <w:r w:rsidRPr="00C618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Pr="00C61815">
              <w:rPr>
                <w:rFonts w:asciiTheme="majorHAnsi" w:hAnsiTheme="majorHAnsi"/>
                <w:sz w:val="24"/>
                <w:szCs w:val="24"/>
              </w:rPr>
              <w:t>erksamhetsberättelse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för 2014-2015 och</w:t>
            </w:r>
            <w:r w:rsidRPr="00C618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Pr="00C61815">
              <w:rPr>
                <w:rFonts w:asciiTheme="majorHAnsi" w:hAnsiTheme="majorHAnsi"/>
                <w:sz w:val="24"/>
                <w:szCs w:val="24"/>
              </w:rPr>
              <w:t>edovisning av tidigare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medföljer som bilaga.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Årsredovisningarna består av förvaltningsberättelser samt resultat- och balansräkningar.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godkänna årsredovisningarna för 2014 och 2015</w:t>
            </w: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 genomgång av beslut och uppföljning gjordes av kansliet och behandlades vid styrelsemötet 19/2-2015</w:t>
            </w: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C6181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lägga redovisningen av tidigare beslut till handlingarna.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bevilja styrelsen och generalsekreteraren ansvarsfrihet för samma verksamhetsperiod.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14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Redovisning av verkställigheten av fullmäktigebeslut 2014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60F5" w:rsidRDefault="001160F5" w:rsidP="004614D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160F5" w:rsidRDefault="001160F5" w:rsidP="004614D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lägga rapporten till handlingarna.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Fastställande av preliminär budget och riktlinjer för verksamheten 2017 och 2018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60F5" w:rsidRPr="002650EB" w:rsidRDefault="001160F5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Enligt stadgarna (§5:4) skall fullmäktige fastställa riktlinjer för budget och verksamhet de två närmast kommande kalenderåren. Styrelsen fastställer därefter före den 15 december den slutgiltiga budgeten och verksamhetsplanen för nästkommande kalenderår.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650EB">
              <w:rPr>
                <w:rFonts w:asciiTheme="majorHAnsi" w:hAnsiTheme="majorHAnsi"/>
                <w:sz w:val="24"/>
                <w:szCs w:val="24"/>
                <w:u w:val="single"/>
              </w:rPr>
              <w:t>Budget 2017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 xml:space="preserve">Med gällande ordning med fullmäktigemötet i juni månad följer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osäkerhet gällande 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budgetsiffror och verksamhetsomfattning till nästkommande kalenderår. Förslag </w:t>
            </w:r>
            <w:r w:rsidRPr="002650E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till budgetramar och verksamhetsinnehåll utgår från inlämnad anslagsframställan till regeringen. Besked om stadsbidragets storlek </w:t>
            </w: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erhålles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tidigast </w:t>
            </w:r>
            <w:r>
              <w:rPr>
                <w:rFonts w:asciiTheme="majorHAnsi" w:hAnsiTheme="majorHAnsi"/>
                <w:sz w:val="24"/>
                <w:szCs w:val="24"/>
              </w:rPr>
              <w:t>november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2016.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650EB">
              <w:rPr>
                <w:rFonts w:asciiTheme="majorHAnsi" w:hAnsiTheme="majorHAnsi"/>
                <w:sz w:val="24"/>
                <w:szCs w:val="24"/>
                <w:u w:val="single"/>
              </w:rPr>
              <w:t>Verksamhet 2017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Bifogade förslag till verksamhetsinriktning utgår från inlämnad anslagsframställan och pågående verksamhet som förväntas fortsätta nästa år.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godkänna preliminär budget för 2017.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godkänna riktlinjer för verksamheten 2017.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650EB">
              <w:rPr>
                <w:rFonts w:asciiTheme="majorHAnsi" w:hAnsiTheme="majorHAnsi"/>
                <w:sz w:val="24"/>
                <w:szCs w:val="24"/>
                <w:u w:val="single"/>
              </w:rPr>
              <w:t>Budget 2018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Förslag till budget 2018 är i dagsläget mycket svår att ta fram. Med bibehållen nivå på stadsbidraget kommer budgeten att följa 2016 års siffror.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650EB">
              <w:rPr>
                <w:rFonts w:asciiTheme="majorHAnsi" w:hAnsiTheme="majorHAnsi"/>
                <w:sz w:val="24"/>
                <w:szCs w:val="24"/>
                <w:u w:val="single"/>
              </w:rPr>
              <w:t>Verksamhet 2018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Planering av verksamheten för 2018 hänger samman med verksamheten under 2017 och verksamhets- och bidragsutvecklingen.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godkänna upplägget för budget och riktlinjer för verksamhet 2018.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uppdra styrelsen att utforma detaljerad verksamhetsplan för 2017 och 2018.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60F5" w:rsidRDefault="001160F5">
      <w:r>
        <w:lastRenderedPageBreak/>
        <w:br w:type="page"/>
      </w:r>
    </w:p>
    <w:tbl>
      <w:tblPr>
        <w:tblStyle w:val="Tabellrutnt1"/>
        <w:tblW w:w="9351" w:type="dxa"/>
        <w:tblLook w:val="01E0" w:firstRow="1" w:lastRow="1" w:firstColumn="1" w:lastColumn="1" w:noHBand="0" w:noVBand="0"/>
      </w:tblPr>
      <w:tblGrid>
        <w:gridCol w:w="644"/>
        <w:gridCol w:w="4076"/>
        <w:gridCol w:w="790"/>
        <w:gridCol w:w="3841"/>
      </w:tblGrid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Behandling av motioner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Totalt har det inkommit 6 motioner.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Godkända motioner skall ha behandlats och godkänts av lokalavdelningen eller distriktet.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Utlåtande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tas fram gemensamt i de arbetsgrupper som kommer att förekomma under fullmäktige. Styrelsen har därför inget </w:t>
            </w:r>
            <w:r>
              <w:rPr>
                <w:rFonts w:asciiTheme="majorHAnsi" w:hAnsiTheme="majorHAnsi"/>
                <w:sz w:val="24"/>
                <w:szCs w:val="24"/>
              </w:rPr>
              <w:t>utlåtande, men väl en tanke per motion som redovisas i arbetsgrupperna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B48B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Uppsala lokalavdelning</w:t>
            </w:r>
          </w:p>
          <w:p w:rsidR="004B48BF" w:rsidRPr="002650EB" w:rsidRDefault="004B48BF" w:rsidP="004614D4">
            <w:pPr>
              <w:pStyle w:val="Liststycke"/>
              <w:ind w:left="4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Avveckla distrikten </w:t>
            </w:r>
          </w:p>
          <w:p w:rsidR="004B48BF" w:rsidRPr="002650EB" w:rsidRDefault="004B48BF" w:rsidP="004614D4">
            <w:pPr>
              <w:pStyle w:val="Liststycke"/>
              <w:ind w:left="4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Att kostnaden för påminnelseavin bekostas centralt.</w:t>
            </w:r>
          </w:p>
          <w:p w:rsidR="004B48BF" w:rsidRPr="002650EB" w:rsidRDefault="004B48BF" w:rsidP="004614D4">
            <w:pPr>
              <w:pStyle w:val="Liststycke"/>
              <w:ind w:left="47" w:firstLine="36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B48B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Lerum lokalavdelning</w:t>
            </w:r>
          </w:p>
          <w:p w:rsidR="004B48BF" w:rsidRPr="002650EB" w:rsidRDefault="004B48BF" w:rsidP="004614D4">
            <w:pPr>
              <w:ind w:left="4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Uppdatering av hemsidan.</w:t>
            </w:r>
          </w:p>
          <w:p w:rsidR="004B48BF" w:rsidRPr="002650EB" w:rsidRDefault="004B48BF" w:rsidP="004614D4">
            <w:pPr>
              <w:ind w:left="83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B48B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Hallands distrikt</w:t>
            </w:r>
          </w:p>
          <w:p w:rsidR="004B48BF" w:rsidRPr="002650EB" w:rsidRDefault="004B48BF" w:rsidP="004614D4">
            <w:pPr>
              <w:ind w:left="4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Öka antal ombud.</w:t>
            </w:r>
          </w:p>
          <w:p w:rsidR="004B48BF" w:rsidRPr="002650EB" w:rsidRDefault="004B48BF" w:rsidP="004614D4">
            <w:pPr>
              <w:pStyle w:val="Liststycke"/>
              <w:ind w:left="443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B48B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Hallands distrikt</w:t>
            </w:r>
          </w:p>
          <w:p w:rsidR="004B48BF" w:rsidRPr="002650EB" w:rsidRDefault="004B48BF" w:rsidP="004614D4">
            <w:pPr>
              <w:ind w:left="4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Ta fram skolmaterial.</w:t>
            </w:r>
          </w:p>
          <w:p w:rsidR="004B48BF" w:rsidRPr="002650EB" w:rsidRDefault="004B48BF" w:rsidP="004614D4">
            <w:pPr>
              <w:ind w:left="83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B48B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Skåne distrikt</w:t>
            </w:r>
          </w:p>
          <w:p w:rsidR="004B48BF" w:rsidRPr="002650EB" w:rsidRDefault="004B48BF" w:rsidP="004614D4">
            <w:pPr>
              <w:ind w:left="4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Tillåta tematiska föreningar som knyts till distrikt.</w:t>
            </w:r>
          </w:p>
          <w:p w:rsidR="004B48BF" w:rsidRPr="002650EB" w:rsidRDefault="004B48BF" w:rsidP="004614D4">
            <w:pPr>
              <w:pStyle w:val="Liststycke"/>
              <w:ind w:left="443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B48B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Skåne distrikt</w:t>
            </w:r>
          </w:p>
          <w:p w:rsidR="004B48BF" w:rsidRPr="002650EB" w:rsidRDefault="004B48BF" w:rsidP="004614D4">
            <w:pPr>
              <w:ind w:left="443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650EB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Tillsätta en arbetsgrupp för att utreda Skåne distrikts verksamhetsplan.</w:t>
            </w:r>
          </w:p>
          <w:p w:rsidR="004B48BF" w:rsidRPr="002650EB" w:rsidRDefault="004B48BF" w:rsidP="004614D4">
            <w:pPr>
              <w:ind w:left="8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11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Fastställande av central andel av medlemsavgiften för år 2017 och 2018 samt fastställandet av enhetlig avgift för 2017 och 2018 för nya medlemmar under första året.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4773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Den centrala andelen går till medlemsadministration och till viss del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4773" w:rsidRPr="002650EB" w:rsidRDefault="00154773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Enligt stadgarna (§5.4:8) skall fullmäktige fastställa det belopp per medlem som varje avdelning skall betala till föreningens centrala verksamhet och fastställa en enhetlig avgift för nya medlemmar under det första året.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4773" w:rsidRDefault="00154773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Vid fullmäktigemötet 2014 fastställdes den centrala andelen till 125 kr. Den enhetliga avgiften för nya medlemmar fastställdes till 175 kr. 50 kr tillfaller avdelningen.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fastställa den centrala andelen till 125 kr för år 2017 och 2018.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fastställa den enhetliga avgiften till 175 kr för nya medlemmar 2017 och 2018.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12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Inriktningsdokument för 2017-2018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Inriktningsdokumntet diskuteras under grupparbeten och blir underlag för beslut av fullmäktige.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anta </w:t>
            </w:r>
            <w:proofErr w:type="spellStart"/>
            <w:r w:rsidRPr="002650EB">
              <w:rPr>
                <w:rFonts w:asciiTheme="majorHAnsi" w:hAnsiTheme="majorHAnsi"/>
                <w:sz w:val="24"/>
                <w:szCs w:val="24"/>
              </w:rPr>
              <w:t>inriktningsdokumentet</w:t>
            </w:r>
            <w:proofErr w:type="spellEnd"/>
            <w:r w:rsidRPr="002650E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13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Stadgeändringar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60F5" w:rsidRDefault="001160F5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60F5" w:rsidRDefault="001160F5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60F5" w:rsidRDefault="001160F5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60F5" w:rsidRPr="002650EB" w:rsidRDefault="001160F5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4773" w:rsidRDefault="00154773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4773" w:rsidRPr="002650EB" w:rsidRDefault="00154773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 xml:space="preserve">Fullmäktige 2012 beslöt om en översyn av stadgarna. En tillsatt stadgegrupp omarbetade stadgarna och fullmäktige 2014 biföll deras förslag att ändra ändamålsparagrafen. </w:t>
            </w:r>
            <w:r>
              <w:rPr>
                <w:rFonts w:asciiTheme="majorHAnsi" w:hAnsiTheme="majorHAnsi"/>
                <w:sz w:val="24"/>
                <w:szCs w:val="24"/>
              </w:rPr>
              <w:t>Samtidigt togs även nya stadgar för distrikt och lokalavdelningar gällande PUL och uteslutningsparagraf.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För att förslaget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om ändamålsparagrafen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skall </w:t>
            </w:r>
            <w:r>
              <w:rPr>
                <w:rFonts w:asciiTheme="majorHAnsi" w:hAnsiTheme="majorHAnsi"/>
                <w:sz w:val="24"/>
                <w:szCs w:val="24"/>
              </w:rPr>
              <w:t>bli gällande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måste det enligt stadgarna bifallas på två fullmäktige.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bifalla stadgarna enligt presenterat förslag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2014 genomförde FNUF en stadgeändring som gör att deras medlemmar är dubbelanslutna. För att beslutet skall kunna träda i kraft måste föreningen Norden besluta om samma paragraf.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4773" w:rsidRDefault="00154773" w:rsidP="004614D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154773" w:rsidRDefault="00154773" w:rsidP="004614D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4B48BF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bifalla stadgarna enligt presenterat förslag.</w:t>
            </w:r>
          </w:p>
          <w:p w:rsidR="00154773" w:rsidRPr="002650EB" w:rsidRDefault="00154773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15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Ärenden rörande FNF (Föreningarna Nordens Förbund)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Muntlig rapport.</w:t>
            </w: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16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Ärenden rörande FNUF (Föreningen Nordens Ungdomsförbund)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Muntlig rapport.</w:t>
            </w: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17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 av ordförande i styrelsen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Valberedningen föreslår att Sinikka Bohlin omväljs till ordförande för Föreningen Norden för perioden 2017-2018.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besluta i enlighet med valberedningens förslag.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18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 av åtta ledamöter i styrelsen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1160F5" w:rsidP="004614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4B48BF" w:rsidRPr="002650EB">
              <w:rPr>
                <w:rFonts w:asciiTheme="majorHAnsi" w:hAnsiTheme="majorHAnsi"/>
                <w:b/>
                <w:sz w:val="24"/>
                <w:szCs w:val="24"/>
              </w:rPr>
              <w:t>örslag till beslut</w:t>
            </w:r>
            <w:r w:rsidR="004B48BF"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Valberedningen föreslår att följande personer väljs till Föreningen Nordens styrelse för perioden 2017-2018: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Christina Husmark-Pehrsson, Landskrona (omval)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Birgitta Englin, Stockholm (omval)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Christian Persson, Uddevalla (omval)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 xml:space="preserve">Ann-Louise </w:t>
            </w:r>
            <w:proofErr w:type="spellStart"/>
            <w:r w:rsidRPr="002650EB">
              <w:rPr>
                <w:rFonts w:asciiTheme="majorHAnsi" w:hAnsiTheme="majorHAnsi"/>
                <w:sz w:val="24"/>
                <w:szCs w:val="24"/>
              </w:rPr>
              <w:t>Rönestål</w:t>
            </w:r>
            <w:proofErr w:type="spellEnd"/>
            <w:r w:rsidRPr="002650EB">
              <w:rPr>
                <w:rFonts w:asciiTheme="majorHAnsi" w:hAnsiTheme="majorHAnsi"/>
                <w:sz w:val="24"/>
                <w:szCs w:val="24"/>
              </w:rPr>
              <w:t xml:space="preserve"> Ek, Falun (nyval)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Eivor Olofsson, Haparanda (nyval)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Fredrik Jacobsen, Malmö (nyval)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José Perez Johansson, Stockholm (nyval)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Torgny Arwidsson, FNUF (omval)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Enligt kutym adjungeras rektor för Biskops-Arnö.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besluta i enlighet med valberedningens förslag.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54773" w:rsidRDefault="00154773">
      <w:r>
        <w:br w:type="page"/>
      </w:r>
    </w:p>
    <w:tbl>
      <w:tblPr>
        <w:tblStyle w:val="Tabellrutnt1"/>
        <w:tblW w:w="9351" w:type="dxa"/>
        <w:tblLook w:val="01E0" w:firstRow="1" w:lastRow="1" w:firstColumn="1" w:lastColumn="1" w:noHBand="0" w:noVBand="0"/>
      </w:tblPr>
      <w:tblGrid>
        <w:gridCol w:w="644"/>
        <w:gridCol w:w="4076"/>
        <w:gridCol w:w="790"/>
        <w:gridCol w:w="3841"/>
      </w:tblGrid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19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 av vice ordförande i styrelsen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60F5" w:rsidRDefault="001160F5" w:rsidP="004614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Valberedningen föreslår vice ordförande för perioden 2017-2018</w:t>
            </w:r>
          </w:p>
          <w:p w:rsidR="001160F5" w:rsidRDefault="001160F5" w:rsidP="004614D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besluta i enlighet med valberedningens förslag.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Val av två revisorer och ersättare för dem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</w:rPr>
              <w:t>Förslag till beslut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Att</w:t>
            </w:r>
            <w:r w:rsidRPr="002650EB">
              <w:rPr>
                <w:rFonts w:asciiTheme="majorHAnsi" w:hAnsiTheme="majorHAnsi"/>
                <w:sz w:val="24"/>
                <w:szCs w:val="24"/>
              </w:rPr>
              <w:t xml:space="preserve"> besluta i enlighet med valberedningens förslag.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21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Tillsättande av valberedningen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Enligt stadgarna skall valberedningen bestå av ordförande jämte sex ledamöter. Tre skall representera distrikten och en ungdomsförbundet.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22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Övriga frågor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Enligt stadgarna (§5.4:11) kan övriga frågor behandlas om fullmäktige beslutar med två tredjedels majoritet.</w:t>
            </w: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48BF" w:rsidRPr="002650EB" w:rsidTr="004614D4">
        <w:trPr>
          <w:trHeight w:val="70"/>
        </w:trPr>
        <w:tc>
          <w:tcPr>
            <w:tcW w:w="644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23</w:t>
            </w:r>
          </w:p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76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  <w:r w:rsidRPr="002650EB">
              <w:rPr>
                <w:rFonts w:asciiTheme="majorHAnsi" w:hAnsiTheme="majorHAnsi"/>
                <w:sz w:val="24"/>
                <w:szCs w:val="24"/>
              </w:rPr>
              <w:t>Mötets avslutande</w:t>
            </w:r>
          </w:p>
        </w:tc>
        <w:tc>
          <w:tcPr>
            <w:tcW w:w="790" w:type="dxa"/>
          </w:tcPr>
          <w:p w:rsidR="004B48BF" w:rsidRPr="002650EB" w:rsidRDefault="004B48BF" w:rsidP="004614D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4B48BF" w:rsidRPr="002650EB" w:rsidRDefault="004B48BF" w:rsidP="004614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22249" w:rsidRPr="004B48BF" w:rsidRDefault="00154773">
      <w:pPr>
        <w:rPr>
          <w:rFonts w:asciiTheme="majorHAnsi" w:hAnsiTheme="majorHAnsi"/>
        </w:rPr>
      </w:pPr>
    </w:p>
    <w:sectPr w:rsidR="00A22249" w:rsidRPr="004B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7FBD"/>
    <w:multiLevelType w:val="hybridMultilevel"/>
    <w:tmpl w:val="CA2472B0"/>
    <w:lvl w:ilvl="0" w:tplc="47D8B9D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0269"/>
    <w:multiLevelType w:val="hybridMultilevel"/>
    <w:tmpl w:val="C068EB50"/>
    <w:lvl w:ilvl="0" w:tplc="2C923A3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63" w:hanging="360"/>
      </w:pPr>
    </w:lvl>
    <w:lvl w:ilvl="2" w:tplc="041D001B" w:tentative="1">
      <w:start w:val="1"/>
      <w:numFmt w:val="lowerRoman"/>
      <w:lvlText w:val="%3."/>
      <w:lvlJc w:val="right"/>
      <w:pPr>
        <w:ind w:left="1883" w:hanging="180"/>
      </w:pPr>
    </w:lvl>
    <w:lvl w:ilvl="3" w:tplc="041D000F" w:tentative="1">
      <w:start w:val="1"/>
      <w:numFmt w:val="decimal"/>
      <w:lvlText w:val="%4."/>
      <w:lvlJc w:val="left"/>
      <w:pPr>
        <w:ind w:left="2603" w:hanging="360"/>
      </w:pPr>
    </w:lvl>
    <w:lvl w:ilvl="4" w:tplc="041D0019" w:tentative="1">
      <w:start w:val="1"/>
      <w:numFmt w:val="lowerLetter"/>
      <w:lvlText w:val="%5."/>
      <w:lvlJc w:val="left"/>
      <w:pPr>
        <w:ind w:left="3323" w:hanging="360"/>
      </w:pPr>
    </w:lvl>
    <w:lvl w:ilvl="5" w:tplc="041D001B" w:tentative="1">
      <w:start w:val="1"/>
      <w:numFmt w:val="lowerRoman"/>
      <w:lvlText w:val="%6."/>
      <w:lvlJc w:val="right"/>
      <w:pPr>
        <w:ind w:left="4043" w:hanging="180"/>
      </w:pPr>
    </w:lvl>
    <w:lvl w:ilvl="6" w:tplc="041D000F" w:tentative="1">
      <w:start w:val="1"/>
      <w:numFmt w:val="decimal"/>
      <w:lvlText w:val="%7."/>
      <w:lvlJc w:val="left"/>
      <w:pPr>
        <w:ind w:left="4763" w:hanging="360"/>
      </w:pPr>
    </w:lvl>
    <w:lvl w:ilvl="7" w:tplc="041D0019" w:tentative="1">
      <w:start w:val="1"/>
      <w:numFmt w:val="lowerLetter"/>
      <w:lvlText w:val="%8."/>
      <w:lvlJc w:val="left"/>
      <w:pPr>
        <w:ind w:left="5483" w:hanging="360"/>
      </w:pPr>
    </w:lvl>
    <w:lvl w:ilvl="8" w:tplc="041D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74"/>
    <w:rsid w:val="001160F5"/>
    <w:rsid w:val="00154773"/>
    <w:rsid w:val="004756A7"/>
    <w:rsid w:val="00481FA6"/>
    <w:rsid w:val="004934BF"/>
    <w:rsid w:val="004B48BF"/>
    <w:rsid w:val="00553042"/>
    <w:rsid w:val="005A4563"/>
    <w:rsid w:val="005E26AD"/>
    <w:rsid w:val="009B5A74"/>
    <w:rsid w:val="00AA4A0C"/>
    <w:rsid w:val="00C231EC"/>
    <w:rsid w:val="00C8173A"/>
    <w:rsid w:val="00D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55B7-954A-4911-A967-1812E57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BF"/>
  </w:style>
  <w:style w:type="paragraph" w:styleId="Rubrik1">
    <w:name w:val="heading 1"/>
    <w:basedOn w:val="Normal"/>
    <w:link w:val="Rubrik1Char"/>
    <w:uiPriority w:val="9"/>
    <w:qFormat/>
    <w:rsid w:val="004B48BF"/>
    <w:pPr>
      <w:outlineLvl w:val="0"/>
    </w:pPr>
    <w:rPr>
      <w:rFonts w:asciiTheme="majorHAnsi" w:hAnsiTheme="majorHAns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48BF"/>
    <w:rPr>
      <w:rFonts w:asciiTheme="majorHAnsi" w:hAnsiTheme="majorHAnsi"/>
      <w:b/>
      <w:sz w:val="32"/>
      <w:szCs w:val="32"/>
    </w:rPr>
  </w:style>
  <w:style w:type="paragraph" w:styleId="Liststycke">
    <w:name w:val="List Paragraph"/>
    <w:basedOn w:val="Normal"/>
    <w:uiPriority w:val="34"/>
    <w:qFormat/>
    <w:rsid w:val="004B48BF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4B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4B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1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1501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Sörensson</dc:creator>
  <cp:keywords/>
  <dc:description/>
  <cp:lastModifiedBy>Elin Sörensson</cp:lastModifiedBy>
  <cp:revision>7</cp:revision>
  <cp:lastPrinted>2016-05-18T14:28:00Z</cp:lastPrinted>
  <dcterms:created xsi:type="dcterms:W3CDTF">2016-05-17T12:24:00Z</dcterms:created>
  <dcterms:modified xsi:type="dcterms:W3CDTF">2016-05-18T14:28:00Z</dcterms:modified>
</cp:coreProperties>
</file>